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492744" w:rsidRPr="00AF017A">
        <w:rPr>
          <w:rFonts w:cs="Arial"/>
          <w:sz w:val="28"/>
          <w:szCs w:val="28"/>
        </w:rPr>
        <w:t>Streichholzziehen</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492744" w:rsidRPr="00CA4F42" w:rsidTr="00492744">
        <w:tc>
          <w:tcPr>
            <w:tcW w:w="2466" w:type="dxa"/>
            <w:vAlign w:val="center"/>
          </w:tcPr>
          <w:p w:rsidR="00492744" w:rsidRPr="00FE6928" w:rsidRDefault="00492744" w:rsidP="00E73945">
            <w:pPr>
              <w:pStyle w:val="IQB-Merkmal"/>
            </w:pPr>
            <w:r w:rsidRPr="00FE6928">
              <w:t>Leitidee</w:t>
            </w:r>
          </w:p>
        </w:tc>
        <w:tc>
          <w:tcPr>
            <w:tcW w:w="6604" w:type="dxa"/>
          </w:tcPr>
          <w:p w:rsidR="00492744" w:rsidRPr="00FE6928" w:rsidRDefault="00492744" w:rsidP="00E73945">
            <w:pPr>
              <w:pStyle w:val="IQB-Merkmalswert"/>
            </w:pPr>
            <w:r w:rsidRPr="00FE6928">
              <w:t>5. Daten und Zufall</w:t>
            </w:r>
          </w:p>
        </w:tc>
      </w:tr>
      <w:tr w:rsidR="00492744" w:rsidRPr="00CA4F42" w:rsidTr="00492744">
        <w:tc>
          <w:tcPr>
            <w:tcW w:w="2466" w:type="dxa"/>
            <w:vAlign w:val="center"/>
          </w:tcPr>
          <w:p w:rsidR="00492744" w:rsidRPr="00FE6928" w:rsidRDefault="00492744" w:rsidP="00E73945">
            <w:pPr>
              <w:pStyle w:val="IQB-Merkmal"/>
            </w:pPr>
            <w:r w:rsidRPr="00FE6928">
              <w:t>Allgemeine Kompetenzen</w:t>
            </w:r>
          </w:p>
        </w:tc>
        <w:tc>
          <w:tcPr>
            <w:tcW w:w="6604" w:type="dxa"/>
          </w:tcPr>
          <w:p w:rsidR="00492744" w:rsidRPr="00FE6928" w:rsidRDefault="00492744" w:rsidP="00E73945">
            <w:pPr>
              <w:pStyle w:val="IQB-Merkmalswert"/>
            </w:pPr>
            <w:r>
              <w:t>Mathematisch modellieren (K3)</w:t>
            </w:r>
          </w:p>
          <w:p w:rsidR="00492744" w:rsidRPr="00FE6928" w:rsidRDefault="00492744" w:rsidP="00E73945">
            <w:pPr>
              <w:pStyle w:val="IQB-Merkmalswert"/>
            </w:pPr>
            <w:r>
              <w:t>Mathematisch kommunizieren (K6)</w:t>
            </w:r>
          </w:p>
        </w:tc>
      </w:tr>
      <w:tr w:rsidR="00492744" w:rsidRPr="00CA4F42" w:rsidTr="00492744">
        <w:tc>
          <w:tcPr>
            <w:tcW w:w="2466" w:type="dxa"/>
            <w:vAlign w:val="center"/>
          </w:tcPr>
          <w:p w:rsidR="00492744" w:rsidRPr="00FE6928" w:rsidRDefault="00492744" w:rsidP="00E73945">
            <w:pPr>
              <w:pStyle w:val="IQB-Merkmal"/>
            </w:pPr>
            <w:r w:rsidRPr="00FE6928">
              <w:t>Anforderungsbereich</w:t>
            </w:r>
          </w:p>
        </w:tc>
        <w:tc>
          <w:tcPr>
            <w:tcW w:w="6604" w:type="dxa"/>
          </w:tcPr>
          <w:p w:rsidR="00492744" w:rsidRPr="00FE6928" w:rsidRDefault="00492744" w:rsidP="00E73945">
            <w:pPr>
              <w:pStyle w:val="IQB-Merkmalswert"/>
            </w:pPr>
            <w:r w:rsidRPr="00FE6928">
              <w:t>I</w:t>
            </w:r>
          </w:p>
        </w:tc>
      </w:tr>
      <w:tr w:rsidR="00492744" w:rsidRPr="00CA4F42" w:rsidTr="00492744">
        <w:tc>
          <w:tcPr>
            <w:tcW w:w="2466" w:type="dxa"/>
            <w:vAlign w:val="center"/>
          </w:tcPr>
          <w:p w:rsidR="00492744" w:rsidRPr="00FE6928" w:rsidRDefault="00492744" w:rsidP="00E73945">
            <w:pPr>
              <w:pStyle w:val="IQB-Merkmal"/>
            </w:pPr>
            <w:r w:rsidRPr="00FE6928">
              <w:t>Kompetenzstufe</w:t>
            </w:r>
          </w:p>
        </w:tc>
        <w:tc>
          <w:tcPr>
            <w:tcW w:w="6604" w:type="dxa"/>
          </w:tcPr>
          <w:p w:rsidR="00492744" w:rsidRPr="00FE6928" w:rsidRDefault="00492744" w:rsidP="00E73945">
            <w:pPr>
              <w:pStyle w:val="IQB-Merkmalswert"/>
            </w:pPr>
            <w:r w:rsidRPr="00FE6928">
              <w:t>1b</w:t>
            </w:r>
          </w:p>
        </w:tc>
      </w:tr>
    </w:tbl>
    <w:p w:rsidR="00694A63" w:rsidRPr="00694A63" w:rsidRDefault="00694A63" w:rsidP="00694A63">
      <w:pPr>
        <w:pStyle w:val="IQB-Teilaufgabentitel"/>
        <w:rPr>
          <w:b/>
        </w:rPr>
      </w:pPr>
      <w:r w:rsidRPr="00694A63">
        <w:rPr>
          <w:b/>
        </w:rPr>
        <w:t>Aufgabenbezogener Kommentar</w:t>
      </w:r>
    </w:p>
    <w:p w:rsidR="00492744" w:rsidRPr="00CA4F42" w:rsidRDefault="00492744" w:rsidP="00492744">
      <w:pPr>
        <w:pStyle w:val="IQB-AnweisungenText"/>
        <w:spacing w:before="0"/>
        <w:rPr>
          <w:rFonts w:ascii="Arial" w:hAnsi="Arial"/>
          <w:sz w:val="22"/>
          <w:szCs w:val="22"/>
        </w:rPr>
      </w:pPr>
      <w:r w:rsidRPr="00CA4F42">
        <w:rPr>
          <w:rFonts w:ascii="Arial" w:hAnsi="Arial"/>
          <w:sz w:val="22"/>
          <w:szCs w:val="22"/>
        </w:rPr>
        <w:t xml:space="preserve">Diese Aufgabe ist der </w:t>
      </w:r>
      <w:r w:rsidRPr="00AC3174">
        <w:rPr>
          <w:rFonts w:ascii="Arial" w:hAnsi="Arial"/>
          <w:sz w:val="22"/>
          <w:szCs w:val="22"/>
        </w:rPr>
        <w:t>Leitidee</w:t>
      </w:r>
      <w:r w:rsidRPr="00934AE1">
        <w:rPr>
          <w:rFonts w:ascii="Arial" w:hAnsi="Arial"/>
          <w:i/>
          <w:sz w:val="22"/>
          <w:szCs w:val="22"/>
        </w:rPr>
        <w:t xml:space="preserve"> Daten und Zufall</w:t>
      </w:r>
      <w:r w:rsidRPr="00CA4F42">
        <w:rPr>
          <w:rFonts w:ascii="Arial" w:hAnsi="Arial"/>
          <w:sz w:val="22"/>
          <w:szCs w:val="22"/>
        </w:rPr>
        <w:t xml:space="preserve"> (L5) zugeordnet, da die Wahrscheinlichkeit in einem Zufallsexperiment bestimmt werden muss. </w:t>
      </w:r>
    </w:p>
    <w:p w:rsidR="00492744" w:rsidRPr="00CA4F42" w:rsidRDefault="00492744" w:rsidP="00492744">
      <w:pPr>
        <w:pStyle w:val="IQB-AnweisungenText"/>
        <w:rPr>
          <w:rFonts w:ascii="Arial" w:hAnsi="Arial"/>
          <w:sz w:val="22"/>
          <w:szCs w:val="22"/>
        </w:rPr>
      </w:pPr>
      <w:r w:rsidRPr="00CA4F42">
        <w:rPr>
          <w:rFonts w:ascii="Arial" w:hAnsi="Arial"/>
          <w:sz w:val="22"/>
          <w:szCs w:val="22"/>
        </w:rPr>
        <w:t xml:space="preserve">Die Schülerinnen und Schüler beantworten die Fragestellung anhand eines passenden mathematischen Modells und benötigen somit die Kompetenz des mathematischen Modellierens (K3). Aufgrund der Entnahme von Informationen aus dem Aufgabentext, ist das mathematische Kommunizieren (K6) ebenfalls erforderlich. </w:t>
      </w:r>
    </w:p>
    <w:p w:rsidR="00492744" w:rsidRPr="00CA4F42" w:rsidRDefault="00492744" w:rsidP="00492744">
      <w:pPr>
        <w:pStyle w:val="IQB-AnweisungenText"/>
        <w:rPr>
          <w:rFonts w:ascii="Arial" w:hAnsi="Arial"/>
          <w:sz w:val="22"/>
          <w:szCs w:val="22"/>
        </w:rPr>
      </w:pPr>
      <w:r w:rsidRPr="00CA4F42">
        <w:rPr>
          <w:rFonts w:ascii="Arial" w:hAnsi="Arial"/>
          <w:sz w:val="22"/>
          <w:szCs w:val="22"/>
        </w:rPr>
        <w:t>Die Aufgabe gehört in den Anforderungsbereich I, weil ein vertrautes und direkt erkennbares Standardmodell zur Bestimmung der Wahrscheinlichkeit genutzt werden kann.</w:t>
      </w:r>
    </w:p>
    <w:p w:rsidR="00694A63" w:rsidRPr="00694A63" w:rsidRDefault="00694A63" w:rsidP="00694A63">
      <w:pPr>
        <w:pStyle w:val="IQB-Teilaufgabentitel"/>
        <w:rPr>
          <w:b/>
        </w:rPr>
      </w:pPr>
      <w:r w:rsidRPr="00694A63">
        <w:rPr>
          <w:b/>
        </w:rPr>
        <w:t>Anregungen für den Unterricht</w:t>
      </w:r>
    </w:p>
    <w:p w:rsidR="00492744" w:rsidRPr="00CA4F42" w:rsidRDefault="00492744" w:rsidP="00492744">
      <w:pPr>
        <w:pStyle w:val="IQB-AnweisungenText"/>
        <w:spacing w:before="0"/>
        <w:rPr>
          <w:rFonts w:ascii="Arial" w:hAnsi="Arial"/>
          <w:sz w:val="22"/>
          <w:szCs w:val="22"/>
        </w:rPr>
      </w:pPr>
      <w:r w:rsidRPr="00CA4F42">
        <w:rPr>
          <w:rFonts w:ascii="Arial" w:hAnsi="Arial"/>
          <w:sz w:val="22"/>
          <w:szCs w:val="22"/>
        </w:rPr>
        <w:t>In der Aufgabe „Streichholzziehen“ wird von Schülerinnen un</w:t>
      </w:r>
      <w:bookmarkStart w:id="0" w:name="_GoBack"/>
      <w:bookmarkEnd w:id="0"/>
      <w:r w:rsidRPr="00CA4F42">
        <w:rPr>
          <w:rFonts w:ascii="Arial" w:hAnsi="Arial"/>
          <w:sz w:val="22"/>
          <w:szCs w:val="22"/>
        </w:rPr>
        <w:t xml:space="preserve">d Schülern verlangt, das Streichholzziehen als ein reales Modell der Laplace-Wahrscheinlichkeit zu erkennen. Die dargestellte Situation kann als eine Grundvorstellung zur Laplace-Wahrscheinlichkeit dienen. Es ist hier möglich, anders als beim </w:t>
      </w:r>
      <w:proofErr w:type="spellStart"/>
      <w:r w:rsidRPr="00CA4F42">
        <w:rPr>
          <w:rFonts w:ascii="Arial" w:hAnsi="Arial"/>
          <w:sz w:val="22"/>
          <w:szCs w:val="22"/>
        </w:rPr>
        <w:t>frequentistischen</w:t>
      </w:r>
      <w:proofErr w:type="spellEnd"/>
      <w:r w:rsidRPr="00CA4F42">
        <w:rPr>
          <w:rFonts w:ascii="Arial" w:hAnsi="Arial"/>
          <w:sz w:val="22"/>
          <w:szCs w:val="22"/>
        </w:rPr>
        <w:t xml:space="preserve"> Wahrscheinlichkeitsbegriff, bereits vor jeder Erfahrung Aussagen über eine Wahrscheinlichkeit zu treffen.</w:t>
      </w:r>
    </w:p>
    <w:p w:rsidR="00492744" w:rsidRDefault="00492744" w:rsidP="00492744">
      <w:pPr>
        <w:pStyle w:val="IQB-AnweisungenText"/>
        <w:spacing w:after="120"/>
        <w:rPr>
          <w:rFonts w:ascii="Arial" w:hAnsi="Arial"/>
          <w:sz w:val="22"/>
          <w:szCs w:val="22"/>
        </w:rPr>
      </w:pPr>
      <w:r w:rsidRPr="00CA4F42">
        <w:rPr>
          <w:rFonts w:ascii="Arial" w:hAnsi="Arial"/>
          <w:sz w:val="22"/>
          <w:szCs w:val="22"/>
        </w:rPr>
        <w:t xml:space="preserve">Schülerinnen und Schüler sollten im Unterricht mit verschiedenen realen Situationen der Laplace-Wahrscheinlichkeit Erfahrungen sammeln können. </w:t>
      </w:r>
    </w:p>
    <w:p w:rsidR="00492744" w:rsidRPr="00AF017A" w:rsidRDefault="00492744" w:rsidP="00492744">
      <w:pPr>
        <w:pStyle w:val="IQB-AnweisungenText"/>
        <w:spacing w:after="120"/>
        <w:rPr>
          <w:rFonts w:ascii="Arial" w:hAnsi="Arial"/>
          <w:sz w:val="22"/>
          <w:szCs w:val="22"/>
        </w:rPr>
      </w:pPr>
      <w:r w:rsidRPr="00CA4F42">
        <w:rPr>
          <w:rFonts w:ascii="Arial" w:hAnsi="Arial"/>
          <w:sz w:val="22"/>
          <w:szCs w:val="22"/>
        </w:rPr>
        <w:t xml:space="preserve">Im Gegensatz dazu sollten ihnen reale Situationen präsentiert werden, die sich mit einem </w:t>
      </w:r>
      <w:proofErr w:type="spellStart"/>
      <w:r w:rsidRPr="00CA4F42">
        <w:rPr>
          <w:rFonts w:ascii="Arial" w:hAnsi="Arial"/>
          <w:sz w:val="22"/>
          <w:szCs w:val="22"/>
        </w:rPr>
        <w:t>frequentisti</w:t>
      </w:r>
      <w:r>
        <w:rPr>
          <w:rFonts w:ascii="Arial" w:hAnsi="Arial"/>
          <w:sz w:val="22"/>
          <w:szCs w:val="22"/>
        </w:rPr>
        <w:t>s</w:t>
      </w:r>
      <w:r w:rsidRPr="00CA4F42">
        <w:rPr>
          <w:rFonts w:ascii="Arial" w:hAnsi="Arial"/>
          <w:sz w:val="22"/>
          <w:szCs w:val="22"/>
        </w:rPr>
        <w:t>chen</w:t>
      </w:r>
      <w:proofErr w:type="spellEnd"/>
      <w:r w:rsidRPr="00CA4F42">
        <w:rPr>
          <w:rFonts w:ascii="Arial" w:hAnsi="Arial"/>
          <w:sz w:val="22"/>
          <w:szCs w:val="22"/>
        </w:rPr>
        <w:t xml:space="preserve"> Wahrscheinlichkeitsbegriff fassen lassen. Auf diese Weise entwickeln sie womöglich die Fähigkeit in weiteren, davon abweichenden Situationen zu erkennen, ob eine Laplace-Wahrscheinlichkeit vorliegt.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28" w:type="dxa"/>
        </w:tblCellMar>
        <w:tblLook w:val="04A0" w:firstRow="1" w:lastRow="0" w:firstColumn="1" w:lastColumn="0" w:noHBand="0" w:noVBand="1"/>
      </w:tblPr>
      <w:tblGrid>
        <w:gridCol w:w="9072"/>
      </w:tblGrid>
      <w:tr w:rsidR="00492744" w:rsidRPr="00CA4F42" w:rsidTr="00E73945">
        <w:tc>
          <w:tcPr>
            <w:tcW w:w="9072" w:type="dxa"/>
            <w:shd w:val="clear" w:color="auto" w:fill="auto"/>
          </w:tcPr>
          <w:p w:rsidR="00492744" w:rsidRPr="00FE6928" w:rsidRDefault="00492744" w:rsidP="00E73945">
            <w:pPr>
              <w:pStyle w:val="IQB-AnweisungenText"/>
              <w:spacing w:after="60"/>
              <w:jc w:val="both"/>
              <w:rPr>
                <w:rFonts w:ascii="Arial" w:hAnsi="Arial"/>
                <w:sz w:val="22"/>
                <w:szCs w:val="22"/>
              </w:rPr>
            </w:pPr>
            <w:r w:rsidRPr="00FE6928">
              <w:rPr>
                <w:rFonts w:ascii="Arial" w:hAnsi="Arial"/>
                <w:sz w:val="22"/>
                <w:szCs w:val="22"/>
              </w:rPr>
              <w:t>Zur Laplace-Wahrscheinlichkeit können folgende bekannte Situationen verwendet werden:</w:t>
            </w:r>
          </w:p>
          <w:p w:rsidR="00492744" w:rsidRPr="00FE6928" w:rsidRDefault="00492744" w:rsidP="00492744">
            <w:pPr>
              <w:pStyle w:val="IQB-AnweisungenText"/>
              <w:numPr>
                <w:ilvl w:val="0"/>
                <w:numId w:val="12"/>
              </w:numPr>
              <w:spacing w:after="60"/>
              <w:jc w:val="both"/>
              <w:rPr>
                <w:rFonts w:ascii="Arial" w:hAnsi="Arial"/>
                <w:sz w:val="22"/>
                <w:szCs w:val="22"/>
              </w:rPr>
            </w:pPr>
            <w:r w:rsidRPr="00FE6928">
              <w:rPr>
                <w:rFonts w:ascii="Arial" w:hAnsi="Arial"/>
                <w:sz w:val="22"/>
                <w:szCs w:val="22"/>
              </w:rPr>
              <w:t>Drehen eines Glücksrads</w:t>
            </w:r>
          </w:p>
          <w:p w:rsidR="00492744" w:rsidRPr="00FE6928" w:rsidRDefault="00492744" w:rsidP="00492744">
            <w:pPr>
              <w:pStyle w:val="IQB-AnweisungenText"/>
              <w:numPr>
                <w:ilvl w:val="0"/>
                <w:numId w:val="13"/>
              </w:numPr>
              <w:spacing w:after="60"/>
              <w:jc w:val="both"/>
              <w:rPr>
                <w:rFonts w:ascii="Arial" w:hAnsi="Arial"/>
                <w:sz w:val="22"/>
                <w:szCs w:val="22"/>
              </w:rPr>
            </w:pPr>
            <w:r w:rsidRPr="00FE6928">
              <w:rPr>
                <w:rFonts w:ascii="Arial" w:hAnsi="Arial"/>
                <w:sz w:val="22"/>
                <w:szCs w:val="22"/>
              </w:rPr>
              <w:t>Kartenspiele</w:t>
            </w:r>
          </w:p>
          <w:p w:rsidR="00492744" w:rsidRPr="00FE6928" w:rsidRDefault="00492744" w:rsidP="00492744">
            <w:pPr>
              <w:pStyle w:val="IQB-AnweisungenText"/>
              <w:numPr>
                <w:ilvl w:val="0"/>
                <w:numId w:val="13"/>
              </w:numPr>
              <w:spacing w:after="60"/>
              <w:jc w:val="both"/>
              <w:rPr>
                <w:rFonts w:ascii="Arial" w:hAnsi="Arial"/>
                <w:sz w:val="22"/>
                <w:szCs w:val="22"/>
              </w:rPr>
            </w:pPr>
            <w:r w:rsidRPr="00FE6928">
              <w:rPr>
                <w:rFonts w:ascii="Arial" w:hAnsi="Arial"/>
                <w:sz w:val="22"/>
                <w:szCs w:val="22"/>
              </w:rPr>
              <w:t>Münzwurf</w:t>
            </w:r>
          </w:p>
          <w:p w:rsidR="00492744" w:rsidRPr="00FE6928" w:rsidRDefault="00492744" w:rsidP="00492744">
            <w:pPr>
              <w:pStyle w:val="IQB-AnweisungenText"/>
              <w:numPr>
                <w:ilvl w:val="0"/>
                <w:numId w:val="13"/>
              </w:numPr>
              <w:spacing w:after="60"/>
              <w:jc w:val="both"/>
              <w:rPr>
                <w:rFonts w:ascii="Arial" w:hAnsi="Arial"/>
                <w:sz w:val="22"/>
                <w:szCs w:val="22"/>
              </w:rPr>
            </w:pPr>
            <w:r w:rsidRPr="00FE6928">
              <w:rPr>
                <w:rFonts w:ascii="Arial" w:hAnsi="Arial"/>
                <w:sz w:val="22"/>
                <w:szCs w:val="22"/>
              </w:rPr>
              <w:t>Spielwürfel</w:t>
            </w:r>
          </w:p>
          <w:p w:rsidR="00492744" w:rsidRPr="00FE6928" w:rsidRDefault="00492744" w:rsidP="00492744">
            <w:pPr>
              <w:pStyle w:val="IQB-AnweisungenText"/>
              <w:numPr>
                <w:ilvl w:val="0"/>
                <w:numId w:val="13"/>
              </w:numPr>
              <w:spacing w:after="60"/>
              <w:jc w:val="both"/>
              <w:rPr>
                <w:rFonts w:ascii="Arial" w:hAnsi="Arial"/>
                <w:sz w:val="22"/>
                <w:szCs w:val="22"/>
              </w:rPr>
            </w:pPr>
            <w:r w:rsidRPr="00FE6928">
              <w:rPr>
                <w:rFonts w:ascii="Arial" w:hAnsi="Arial"/>
                <w:sz w:val="22"/>
                <w:szCs w:val="22"/>
              </w:rPr>
              <w:t>Ziehen aus einer Urne</w:t>
            </w:r>
          </w:p>
        </w:tc>
      </w:tr>
    </w:tbl>
    <w:p w:rsidR="00694A63" w:rsidRPr="005B2F65" w:rsidRDefault="00492744" w:rsidP="00492744">
      <w:pPr>
        <w:pStyle w:val="IQB-AnweisungenText"/>
        <w:rPr>
          <w:sz w:val="22"/>
          <w:szCs w:val="22"/>
        </w:rPr>
      </w:pPr>
      <w:r w:rsidRPr="00CA4F42">
        <w:rPr>
          <w:rFonts w:ascii="Arial" w:hAnsi="Arial"/>
          <w:sz w:val="22"/>
          <w:szCs w:val="22"/>
        </w:rPr>
        <w:t xml:space="preserve">Situationen zum </w:t>
      </w:r>
      <w:proofErr w:type="spellStart"/>
      <w:r w:rsidRPr="00CA4F42">
        <w:rPr>
          <w:rFonts w:ascii="Arial" w:hAnsi="Arial"/>
          <w:sz w:val="22"/>
          <w:szCs w:val="22"/>
        </w:rPr>
        <w:t>frequentistischen</w:t>
      </w:r>
      <w:proofErr w:type="spellEnd"/>
      <w:r w:rsidRPr="00CA4F42">
        <w:rPr>
          <w:rFonts w:ascii="Arial" w:hAnsi="Arial"/>
          <w:sz w:val="22"/>
          <w:szCs w:val="22"/>
        </w:rPr>
        <w:t xml:space="preserve"> Wahrscheinlichkeitsbegriff sind in der Regel solche, bei denen Wahrscheinlichkeiten für einzelne Ereignisse nicht im Vorhinein aufgrund von Symmetrien vorhergesagt werden können, sondern vielmehr aus relativen Häufigkeiten abgeleitet werden müssen. Ein bekanntes Beispiel ist das Werfen von Reißzwecken. Weniger bekannt dürfte </w:t>
      </w:r>
      <w:r w:rsidRPr="00CA4F42">
        <w:rPr>
          <w:rFonts w:ascii="Arial" w:hAnsi="Arial"/>
          <w:sz w:val="22"/>
          <w:szCs w:val="22"/>
        </w:rPr>
        <w:lastRenderedPageBreak/>
        <w:t>hingegen das Rollen eines Bleistifts sein. Mit solchen beschäftigt sich Wolfgang Riemer. Auf seiner Homepage schreibt er: „</w:t>
      </w:r>
      <w:r w:rsidRPr="00CA4F42">
        <w:rPr>
          <w:rFonts w:ascii="Arial" w:hAnsi="Arial"/>
          <w:i/>
          <w:sz w:val="22"/>
          <w:szCs w:val="22"/>
        </w:rPr>
        <w:t xml:space="preserve">Die meisten Menschen sind fest davon überzeugt, dass beim Würfeln mit Sechskant-Bleistiften alle Seiten die gleiche Wahrscheinlichkeit </w:t>
      </w:r>
      <w:r w:rsidRPr="00CA4F42">
        <w:rPr>
          <w:i/>
          <w:position w:val="-24"/>
          <w:sz w:val="16"/>
          <w:szCs w:val="16"/>
        </w:rPr>
        <w:object w:dxaOrig="2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pt;height:30.65pt" o:ole="">
            <v:imagedata r:id="rId8" o:title=""/>
          </v:shape>
          <o:OLEObject Type="Embed" ProgID="Equation.DSMT4" ShapeID="_x0000_i1025" DrawAspect="Content" ObjectID="_1814595812" r:id="rId9"/>
        </w:object>
      </w:r>
      <w:r w:rsidRPr="00CA4F42">
        <w:rPr>
          <w:rFonts w:ascii="Arial" w:hAnsi="Arial"/>
          <w:i/>
          <w:sz w:val="22"/>
          <w:szCs w:val="22"/>
        </w:rPr>
        <w:t xml:space="preserve"> besitzen, egal ob man sie rechts- oder linksherum rollt. Tatsächlich besitzen die Stifte eine ERHEBLICHE Individualität</w:t>
      </w:r>
      <w:r w:rsidRPr="00CA4F42">
        <w:rPr>
          <w:rFonts w:ascii="Arial" w:hAnsi="Arial"/>
          <w:sz w:val="22"/>
          <w:szCs w:val="22"/>
        </w:rPr>
        <w:t>“</w:t>
      </w:r>
      <w:r w:rsidRPr="00CA4F42">
        <w:rPr>
          <w:rStyle w:val="Funotenzeichen"/>
          <w:rFonts w:ascii="Arial" w:hAnsi="Arial"/>
          <w:sz w:val="22"/>
          <w:szCs w:val="22"/>
        </w:rPr>
        <w:footnoteReference w:id="1"/>
      </w:r>
      <w:r w:rsidRPr="00CA4F42">
        <w:rPr>
          <w:rFonts w:ascii="Arial" w:hAnsi="Arial"/>
          <w:sz w:val="22"/>
          <w:szCs w:val="22"/>
        </w:rPr>
        <w:t xml:space="preserve">. So weist er beispielsweise darauf hin, dass die Mine bei Stiften nicht immer exakt in der Mitte des Stifts sitzt und dass die </w:t>
      </w:r>
      <w:proofErr w:type="spellStart"/>
      <w:r w:rsidRPr="00CA4F42">
        <w:rPr>
          <w:rFonts w:ascii="Arial" w:hAnsi="Arial"/>
          <w:sz w:val="22"/>
          <w:szCs w:val="22"/>
        </w:rPr>
        <w:t>Leimung</w:t>
      </w:r>
      <w:proofErr w:type="spellEnd"/>
      <w:r w:rsidRPr="00CA4F42">
        <w:rPr>
          <w:rFonts w:ascii="Arial" w:hAnsi="Arial"/>
          <w:sz w:val="22"/>
          <w:szCs w:val="22"/>
        </w:rPr>
        <w:t xml:space="preserve"> der Bleistifte für Asymmetrien sorgt. Auf der Homepage finden sich Unterrichtsmaterialen und didaktische Erläuterungen zu Zufallsexperimenten, die mit einfachen Bleistiften im Unterricht durchgeführt werden können.</w:t>
      </w:r>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BA937FA9-A111-40CC-B12C-D4D30A2C23F2}"/>
    <w:embedBold r:id="rId2" w:fontKey="{04E0A5DE-90CD-4719-9B07-B37CA28C10D8}"/>
    <w:embedItalic r:id="rId3" w:fontKey="{BF3ABEEE-9087-405C-AA8D-8D487C53ACCB}"/>
    <w:embedBoldItalic r:id="rId4" w:fontKey="{A38B24DB-EE95-4EE8-9202-C3CE3BEC917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 w:id="1">
    <w:p w:rsidR="00492744" w:rsidRPr="005C6A4B" w:rsidRDefault="00492744" w:rsidP="00492744">
      <w:pPr>
        <w:pStyle w:val="Funotentext"/>
        <w:rPr>
          <w:color w:val="000000"/>
        </w:rPr>
      </w:pPr>
      <w:r w:rsidRPr="005C6A4B">
        <w:rPr>
          <w:rStyle w:val="Funotenzeichen"/>
          <w:color w:val="000000"/>
        </w:rPr>
        <w:footnoteRef/>
      </w:r>
      <w:r w:rsidRPr="005C6A4B">
        <w:rPr>
          <w:color w:val="000000"/>
        </w:rPr>
        <w:t xml:space="preserve"> Internetseite von Wolfgang Riemer: </w:t>
      </w:r>
      <w:hyperlink r:id="rId1" w:history="1">
        <w:r w:rsidRPr="005C6A4B">
          <w:rPr>
            <w:rStyle w:val="Hyperlink"/>
            <w:color w:val="000000"/>
          </w:rPr>
          <w:t>http://www.riemer-koeln.de/cmbasic/?stifte</w:t>
        </w:r>
      </w:hyperlink>
      <w:r w:rsidRPr="005C6A4B">
        <w:rPr>
          <w:color w:val="000000"/>
        </w:rPr>
        <w:t xml:space="preserve"> (letzter Zugriff am 28.09.15)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78B3383"/>
    <w:multiLevelType w:val="hybridMultilevel"/>
    <w:tmpl w:val="B9022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2"/>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92744"/>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8C550E"/>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82617"/>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403AE"/>
    <w:rsid w:val="00EA71E2"/>
    <w:rsid w:val="00EB0195"/>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4:docId w14:val="765703D2"/>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Funotenzeichen">
    <w:name w:val="footnote reference"/>
    <w:rsid w:val="008C550E"/>
    <w:rPr>
      <w:vertAlign w:val="superscript"/>
    </w:rPr>
  </w:style>
  <w:style w:type="character" w:customStyle="1" w:styleId="Funotenanker">
    <w:name w:val="Fußnotenanker"/>
    <w:rsid w:val="008C550E"/>
    <w:rPr>
      <w:vertAlign w:val="superscript"/>
    </w:rPr>
  </w:style>
  <w:style w:type="paragraph" w:customStyle="1" w:styleId="Funote">
    <w:name w:val="Fußnote"/>
    <w:basedOn w:val="Standard"/>
    <w:rsid w:val="008C550E"/>
    <w:pPr>
      <w:suppressAutoHyphens/>
    </w:pPr>
    <w:rPr>
      <w:rFonts w:ascii="Arial" w:hAnsi="Arial"/>
      <w:sz w:val="18"/>
    </w:rPr>
  </w:style>
  <w:style w:type="paragraph" w:styleId="Funotentext">
    <w:name w:val="footnote text"/>
    <w:basedOn w:val="Standard"/>
    <w:link w:val="FunotentextZchn"/>
    <w:rsid w:val="00C82617"/>
    <w:rPr>
      <w:rFonts w:ascii="Arial" w:hAnsi="Arial"/>
      <w:sz w:val="20"/>
      <w:szCs w:val="20"/>
      <w:lang w:val="x-none" w:eastAsia="x-none"/>
    </w:rPr>
  </w:style>
  <w:style w:type="character" w:customStyle="1" w:styleId="FunotentextZchn">
    <w:name w:val="Fußnotentext Zchn"/>
    <w:basedOn w:val="Absatz-Standardschriftart"/>
    <w:link w:val="Funotentext"/>
    <w:rsid w:val="00C82617"/>
    <w:rPr>
      <w:rFonts w:ascii="Arial" w:hAnsi="Arial"/>
      <w:lang w:val="x-none" w:eastAsia="x-none"/>
    </w:rPr>
  </w:style>
  <w:style w:type="paragraph" w:styleId="Zitat">
    <w:name w:val="Quote"/>
    <w:basedOn w:val="Standard"/>
    <w:next w:val="Standard"/>
    <w:link w:val="ZitatZchn"/>
    <w:uiPriority w:val="29"/>
    <w:qFormat/>
    <w:rsid w:val="00EB0195"/>
    <w:rPr>
      <w:rFonts w:ascii="Arial" w:hAnsi="Arial"/>
      <w:i/>
      <w:iCs/>
      <w:color w:val="000000"/>
      <w:sz w:val="18"/>
    </w:rPr>
  </w:style>
  <w:style w:type="character" w:customStyle="1" w:styleId="ZitatZchn">
    <w:name w:val="Zitat Zchn"/>
    <w:basedOn w:val="Absatz-Standardschriftart"/>
    <w:link w:val="Zitat"/>
    <w:uiPriority w:val="29"/>
    <w:rsid w:val="00EB0195"/>
    <w:rPr>
      <w:rFonts w:ascii="Arial" w:hAnsi="Arial"/>
      <w:i/>
      <w:iCs/>
      <w:color w:val="000000"/>
      <w:sz w:val="18"/>
      <w:szCs w:val="24"/>
    </w:rPr>
  </w:style>
  <w:style w:type="character" w:styleId="Hyperlink">
    <w:name w:val="Hyperlink"/>
    <w:uiPriority w:val="99"/>
    <w:unhideWhenUsed/>
    <w:rsid w:val="0049274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www.riemer-koeln.de/cmbasic/?stifte"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305148-CE60-4C32-B0B2-8F09C105A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363</Words>
  <Characters>2672</Characters>
  <Application>Microsoft Office Word</Application>
  <DocSecurity>0</DocSecurity>
  <Lines>56</Lines>
  <Paragraphs>35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2025-07-21T07:37:00Z</dcterms:created>
  <dcterms:modified xsi:type="dcterms:W3CDTF">2025-07-21T07:37:00Z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